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71D8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 </w:t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C69D2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AC69D2">
        <w:rPr>
          <w:rFonts w:ascii="Arial" w:hAnsi="Arial" w:cs="Arial"/>
          <w:sz w:val="24"/>
          <w:szCs w:val="24"/>
        </w:rPr>
        <w:t>3</w:t>
      </w:r>
      <w:r w:rsidR="00893FD6">
        <w:rPr>
          <w:rFonts w:ascii="Arial" w:hAnsi="Arial" w:cs="Arial"/>
          <w:sz w:val="24"/>
          <w:szCs w:val="24"/>
        </w:rPr>
        <w:t>25-1</w:t>
      </w:r>
      <w:r w:rsidR="00AC69D2">
        <w:rPr>
          <w:rFonts w:ascii="Arial" w:hAnsi="Arial" w:cs="Arial"/>
          <w:sz w:val="24"/>
          <w:szCs w:val="24"/>
        </w:rPr>
        <w:t>/201</w:t>
      </w:r>
      <w:r w:rsidR="00893FD6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893FD6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93FD6">
        <w:rPr>
          <w:rFonts w:ascii="Arial" w:hAnsi="Arial" w:cs="Arial"/>
          <w:b/>
          <w:sz w:val="28"/>
          <w:szCs w:val="28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93FD6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2016. május 26-ai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893FD6">
        <w:rPr>
          <w:rFonts w:ascii="Arial" w:hAnsi="Arial" w:cs="Arial"/>
          <w:sz w:val="24"/>
          <w:szCs w:val="24"/>
        </w:rPr>
        <w:t>Hévíz Város Önkormányzat Képviselő-testülete részéről alkotott önkormányzati rendeletek hatályosulása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93FD6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893FD6">
        <w:rPr>
          <w:rFonts w:ascii="Arial" w:hAnsi="Arial" w:cs="Arial"/>
          <w:sz w:val="24"/>
          <w:szCs w:val="24"/>
        </w:rPr>
        <w:t>dr. Márkus Mirtill aljegyző</w:t>
      </w:r>
    </w:p>
    <w:p w:rsidR="008E2138" w:rsidRDefault="00AC69D2" w:rsidP="00893FD6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>dr. Keserű Klaudia jogász</w:t>
      </w:r>
    </w:p>
    <w:p w:rsidR="00893FD6" w:rsidRPr="00893FD6" w:rsidRDefault="00893FD6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dr. Lengyel Katalin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AC69D2" w:rsidP="008E213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Oktatási, Kulturális és Sport</w:t>
      </w:r>
      <w:r w:rsidR="008E2138" w:rsidRPr="00AC69D2">
        <w:rPr>
          <w:rFonts w:ascii="Arial" w:hAnsi="Arial" w:cs="Arial"/>
          <w:sz w:val="24"/>
          <w:szCs w:val="24"/>
        </w:rPr>
        <w:t xml:space="preserve"> Bizottság</w:t>
      </w:r>
    </w:p>
    <w:p w:rsidR="00AC69D2" w:rsidRPr="00AC69D2" w:rsidRDefault="00AC69D2" w:rsidP="008E213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Jogi- Ügyrendi, Szociális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9D2" w:rsidRDefault="009A71D8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Tisztel</w:t>
      </w:r>
      <w:r w:rsidR="00AC69D2" w:rsidRPr="00372D8A">
        <w:rPr>
          <w:sz w:val="22"/>
          <w:szCs w:val="22"/>
        </w:rPr>
        <w:t xml:space="preserve">t </w:t>
      </w:r>
      <w:r w:rsidR="00AC69D2">
        <w:rPr>
          <w:sz w:val="22"/>
          <w:szCs w:val="22"/>
        </w:rPr>
        <w:t>Képviselő-testület</w:t>
      </w:r>
      <w:r w:rsidR="00AC69D2" w:rsidRPr="00372D8A">
        <w:rPr>
          <w:sz w:val="22"/>
          <w:szCs w:val="22"/>
        </w:rPr>
        <w:t>!</w:t>
      </w:r>
    </w:p>
    <w:p w:rsidR="00AC69D2" w:rsidRDefault="00AC69D2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Default="00893FD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1B28C2">
        <w:rPr>
          <w:b/>
          <w:sz w:val="22"/>
          <w:szCs w:val="22"/>
        </w:rPr>
        <w:t>Magyarország Alaptörvénye</w:t>
      </w:r>
      <w:r>
        <w:rPr>
          <w:sz w:val="22"/>
          <w:szCs w:val="22"/>
        </w:rPr>
        <w:t xml:space="preserve"> 32. cikk (2) bekezdése értelmében a feladatkörében eljáró helyi önkormányzat az alábbi két esetben jogosult önkormányzati rendeletet alkotni:</w:t>
      </w:r>
    </w:p>
    <w:p w:rsidR="00893FD6" w:rsidRDefault="00C46CA0" w:rsidP="00893FD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>A helyi önkormányzat eredeti jogalkotói hatáskörben olyan helyi társadalmi viszonyok rendezésére jogosult önkormányzati rendeletet alkotni, melyet törvény nem szabályoz.</w:t>
      </w:r>
    </w:p>
    <w:p w:rsidR="00C46CA0" w:rsidRDefault="00C46CA0" w:rsidP="00893FD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helyi Önkormányzat törvényben kapott felhatalmazás alapján is jogosult önkormányzati rendeletet alkotni. Ebben az esetben </w:t>
      </w:r>
      <w:r w:rsidRPr="001B28C2">
        <w:rPr>
          <w:b/>
          <w:sz w:val="22"/>
          <w:szCs w:val="22"/>
        </w:rPr>
        <w:t>a jogalkotásról szóló 2010. évi CXXX. törvény</w:t>
      </w:r>
      <w:r>
        <w:rPr>
          <w:sz w:val="22"/>
          <w:szCs w:val="22"/>
        </w:rPr>
        <w:t xml:space="preserve"> 5. § (4) bekezdése értelmében a helyi önkormányzat nem csak jogosult, hanem köteles is az önkormányzati rendeletet megalkotni, feltéve, hogy a felhatalmazást adó jogszabályból kifejezetten más nem következik.</w:t>
      </w:r>
    </w:p>
    <w:p w:rsidR="00C46CA0" w:rsidRDefault="00C46CA0" w:rsidP="00C46CA0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46CA0" w:rsidRDefault="00C46CA0" w:rsidP="00C46CA0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1B28C2">
        <w:rPr>
          <w:b/>
          <w:sz w:val="22"/>
          <w:szCs w:val="22"/>
        </w:rPr>
        <w:t>Helyi Önkormányzatok Európai Chartájáról szóló</w:t>
      </w:r>
      <w:r>
        <w:rPr>
          <w:sz w:val="22"/>
          <w:szCs w:val="22"/>
        </w:rPr>
        <w:t xml:space="preserve">, 1985. </w:t>
      </w:r>
      <w:r w:rsidR="00EB7E6E">
        <w:rPr>
          <w:sz w:val="22"/>
          <w:szCs w:val="22"/>
        </w:rPr>
        <w:t>október 15-én, Stras</w:t>
      </w:r>
      <w:r>
        <w:rPr>
          <w:sz w:val="22"/>
          <w:szCs w:val="22"/>
        </w:rPr>
        <w:t xml:space="preserve">bourgban kelt egyezmény kihirdetéséről szóló </w:t>
      </w:r>
      <w:r w:rsidRPr="001B28C2">
        <w:rPr>
          <w:b/>
          <w:sz w:val="22"/>
          <w:szCs w:val="22"/>
        </w:rPr>
        <w:t>1997. évi XV. törvény</w:t>
      </w:r>
      <w:r>
        <w:rPr>
          <w:sz w:val="22"/>
          <w:szCs w:val="22"/>
        </w:rPr>
        <w:t xml:space="preserve"> 3. cikk 1. pontja értelmében a helyi önkormányzás a helyi önkormányzatoknak azt a jogát és képességét jelenti, hogy a – jogszabályi keretek között – a közügyek lényegi részét saját hatáskörükben szabályozzák, és igazgassák a helyi lakosság érdekében.</w:t>
      </w:r>
    </w:p>
    <w:p w:rsidR="00C46CA0" w:rsidRDefault="00C46CA0" w:rsidP="00C46CA0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C46CA0" w:rsidRDefault="00C46CA0" w:rsidP="00C46CA0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Az önkormányzati rendeletek megalkotásánál figyelemmel kell lenni arra, hogy azok nemzetközi szerződéssel, az Európai Unió jogi aktusával, az Alaptörvénnyel, vagy más jogszabállyal nem lehetnek ellentétesek.</w:t>
      </w:r>
      <w:r w:rsidR="001B28C2" w:rsidRPr="001B28C2">
        <w:rPr>
          <w:sz w:val="22"/>
          <w:szCs w:val="22"/>
        </w:rPr>
        <w:t xml:space="preserve"> </w:t>
      </w:r>
      <w:r w:rsidR="001B28C2">
        <w:rPr>
          <w:sz w:val="22"/>
          <w:szCs w:val="22"/>
        </w:rPr>
        <w:t>Hévíz Város Önkormányzatnak jelenleg 59 db hatályos rendelete van.</w:t>
      </w:r>
    </w:p>
    <w:p w:rsidR="00C00627" w:rsidRDefault="00C00627" w:rsidP="00C46CA0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15614" w:rsidRPr="00CD00F9" w:rsidRDefault="00D15614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CD00F9">
        <w:rPr>
          <w:sz w:val="22"/>
          <w:szCs w:val="22"/>
        </w:rPr>
        <w:t xml:space="preserve">2015. évben 51 db </w:t>
      </w:r>
      <w:r w:rsidR="00C00627" w:rsidRPr="00CD00F9">
        <w:rPr>
          <w:sz w:val="22"/>
          <w:szCs w:val="22"/>
        </w:rPr>
        <w:t xml:space="preserve">önkormányzati </w:t>
      </w:r>
      <w:r w:rsidRPr="00CD00F9">
        <w:rPr>
          <w:sz w:val="22"/>
          <w:szCs w:val="22"/>
        </w:rPr>
        <w:t xml:space="preserve">rendelet </w:t>
      </w:r>
      <w:r w:rsidR="00C00627" w:rsidRPr="00CD00F9">
        <w:rPr>
          <w:sz w:val="22"/>
          <w:szCs w:val="22"/>
        </w:rPr>
        <w:t>került megalkotásra</w:t>
      </w:r>
      <w:r w:rsidRPr="00CD00F9">
        <w:rPr>
          <w:sz w:val="22"/>
          <w:szCs w:val="22"/>
        </w:rPr>
        <w:t xml:space="preserve">, ebből 7 új rendelet, 44 pedig a már meglévő rendeletek módosítása. 2016. évben idáig 16 db </w:t>
      </w:r>
      <w:r w:rsidR="00C00627" w:rsidRPr="00CD00F9">
        <w:rPr>
          <w:sz w:val="22"/>
          <w:szCs w:val="22"/>
        </w:rPr>
        <w:t xml:space="preserve">önkormányzati </w:t>
      </w:r>
      <w:r w:rsidRPr="00CD00F9">
        <w:rPr>
          <w:sz w:val="22"/>
          <w:szCs w:val="22"/>
        </w:rPr>
        <w:t>rendeletet fogadott el a Képviselő-testület, ebből 2 db új rendelet, 14 pedig módosító rendelet.</w:t>
      </w:r>
    </w:p>
    <w:p w:rsidR="00D15614" w:rsidRPr="00CD00F9" w:rsidRDefault="00D15614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67311" w:rsidRPr="00CD00F9" w:rsidRDefault="00D67311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CD00F9">
        <w:rPr>
          <w:sz w:val="22"/>
          <w:szCs w:val="22"/>
        </w:rPr>
        <w:t>Időről-időre szükségessé válik a hatályos önkormányzati rendeletek felülvizsgálata és annak megállapítása, hogy adott rendelet hatályának fenntartása továbbra is indokolt-e a társadalmi, szociális, valamint gazdasági érdekek figyelembevételével. A felülvizsgálat további indokaként jelölhető meg a magasabb szintű jogszabályi környezet változása</w:t>
      </w:r>
      <w:r w:rsidR="001B28C2" w:rsidRPr="00CD00F9">
        <w:rPr>
          <w:sz w:val="22"/>
          <w:szCs w:val="22"/>
        </w:rPr>
        <w:t>,</w:t>
      </w:r>
      <w:r w:rsidRPr="00CD00F9">
        <w:rPr>
          <w:sz w:val="22"/>
          <w:szCs w:val="22"/>
        </w:rPr>
        <w:t xml:space="preserve"> és a jogbiztonság követelményének való megfelelés biztosítása. </w:t>
      </w:r>
    </w:p>
    <w:p w:rsidR="00D67311" w:rsidRPr="00CD00F9" w:rsidRDefault="00D67311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EB7E6E" w:rsidRPr="00CD00F9" w:rsidRDefault="00EB7E6E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CD00F9">
        <w:rPr>
          <w:sz w:val="22"/>
          <w:szCs w:val="22"/>
        </w:rPr>
        <w:t>A felülvizsgálat során fontos szerepet játszik a dereguláció is, amelynek keretében a végrehajtott vagy párhuzamos jogszabályok és jogszabályi rendelkezések hatályon kívül helyezésével formai értelemben csökkenthető a jogi szabályozás, így a hatályos joganyag nem változik (technikai dereguláció). A felülvizsgálat során szem előtt kell tartani, hogy amennyiben egy adott rendelet jelentős részét módosítani kellene, helyette célszerűbb egy új, átlátható rendelet alkotása.</w:t>
      </w:r>
    </w:p>
    <w:p w:rsidR="00EB7E6E" w:rsidRPr="00CD00F9" w:rsidRDefault="00EB7E6E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EB7E6E" w:rsidRDefault="00EB7E6E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 jelen előterjesztéshez mellékelve lett a jelenleg hatályos helyi rendeleteket tartalmazó részletes táblázat, amelyben a rendeletek feltüntetése mellett megtalálható azok alkalmazhatóságának értékelése</w:t>
      </w:r>
      <w:r w:rsidR="003458EA">
        <w:rPr>
          <w:sz w:val="22"/>
          <w:szCs w:val="22"/>
        </w:rPr>
        <w:t>ként a javaslat a rendelet esetleges hatályon kívül helyezésére vagy teljes körű felülvizsgálatára is, a feladatellátásra vonatkozó ütemterv</w:t>
      </w:r>
      <w:r w:rsidR="00CD00F9">
        <w:rPr>
          <w:sz w:val="22"/>
          <w:szCs w:val="22"/>
        </w:rPr>
        <w:t>.</w:t>
      </w:r>
      <w:r w:rsidR="003458EA">
        <w:rPr>
          <w:sz w:val="22"/>
          <w:szCs w:val="22"/>
        </w:rPr>
        <w:t xml:space="preserve"> Amennyiben valamely rendelet nem igényel módosítást, az erre vonatkozó utalást is tartalmazza a táblázat.</w:t>
      </w:r>
    </w:p>
    <w:p w:rsidR="003458EA" w:rsidRDefault="003458EA" w:rsidP="002526E6">
      <w:pPr>
        <w:spacing w:after="0" w:line="240" w:lineRule="auto"/>
        <w:jc w:val="both"/>
        <w:rPr>
          <w:rFonts w:ascii="Arial" w:hAnsi="Arial" w:cs="Arial"/>
        </w:rPr>
      </w:pPr>
    </w:p>
    <w:p w:rsidR="002526E6" w:rsidRPr="00EE1CFD" w:rsidRDefault="002526E6" w:rsidP="002526E6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2526E6" w:rsidRDefault="002526E6" w:rsidP="002526E6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</w:p>
    <w:p w:rsidR="009A71D8" w:rsidRPr="00EE1CFD" w:rsidRDefault="009A71D8" w:rsidP="002526E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döntés egyszerű többséget igényel.</w:t>
      </w:r>
    </w:p>
    <w:p w:rsidR="00801CE1" w:rsidRDefault="00801CE1" w:rsidP="002526E6">
      <w:pPr>
        <w:spacing w:after="0" w:line="240" w:lineRule="auto"/>
        <w:jc w:val="both"/>
        <w:rPr>
          <w:rFonts w:ascii="Arial" w:hAnsi="Arial" w:cs="Arial"/>
        </w:rPr>
      </w:pPr>
    </w:p>
    <w:p w:rsidR="002526E6" w:rsidRPr="00EE1CFD" w:rsidRDefault="002526E6" w:rsidP="002526E6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 xml:space="preserve"> </w:t>
      </w:r>
    </w:p>
    <w:p w:rsidR="002526E6" w:rsidRDefault="002526E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3458EA" w:rsidRPr="00372D8A" w:rsidRDefault="003458EA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A71D8" w:rsidRDefault="009A71D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A71D8" w:rsidRPr="00956A7D" w:rsidRDefault="009A71D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9D2" w:rsidRPr="00CD00F9" w:rsidRDefault="00AC69D2" w:rsidP="00C00627">
      <w:pPr>
        <w:pStyle w:val="Listaszerbekezds"/>
        <w:widowControl w:val="0"/>
        <w:tabs>
          <w:tab w:val="left" w:pos="1293"/>
        </w:tabs>
        <w:spacing w:after="0"/>
        <w:ind w:left="20" w:right="20"/>
        <w:jc w:val="both"/>
        <w:rPr>
          <w:rFonts w:ascii="Arial" w:eastAsia="Arial" w:hAnsi="Arial" w:cs="Arial"/>
          <w:u w:val="single"/>
          <w:lang w:eastAsia="hu-HU" w:bidi="hu-HU"/>
        </w:rPr>
      </w:pPr>
      <w:r w:rsidRPr="00CD00F9">
        <w:rPr>
          <w:rFonts w:ascii="Arial" w:eastAsia="Arial" w:hAnsi="Arial" w:cs="Arial"/>
          <w:lang w:eastAsia="hu-HU" w:bidi="hu-HU"/>
        </w:rPr>
        <w:t xml:space="preserve">Hévíz Város Önkormányzat </w:t>
      </w:r>
      <w:r w:rsidR="00D67311" w:rsidRPr="00CD00F9">
        <w:rPr>
          <w:rFonts w:ascii="Arial" w:eastAsia="Arial" w:hAnsi="Arial" w:cs="Arial"/>
          <w:lang w:eastAsia="hu-HU" w:bidi="hu-HU"/>
        </w:rPr>
        <w:t xml:space="preserve">Képviselő-testülete </w:t>
      </w:r>
      <w:r w:rsidR="0086765B" w:rsidRPr="00CD00F9">
        <w:rPr>
          <w:rFonts w:ascii="Arial" w:eastAsia="Arial" w:hAnsi="Arial" w:cs="Arial"/>
          <w:lang w:eastAsia="hu-HU" w:bidi="hu-HU"/>
        </w:rPr>
        <w:t xml:space="preserve">az </w:t>
      </w:r>
      <w:r w:rsidR="00C00627" w:rsidRPr="00CD00F9">
        <w:rPr>
          <w:rFonts w:ascii="Arial" w:eastAsia="Arial" w:hAnsi="Arial" w:cs="Arial"/>
          <w:lang w:eastAsia="hu-HU" w:bidi="hu-HU"/>
        </w:rPr>
        <w:t>önkormányzati rendeletek utófelülvizsgálati eljárásáról szóló tájékoztatást megismerte, és felkéri a polgármestert és a jegyzőt a további eljárásra, az önkormányzati rendelet-tervezetek képviselő-testület elé terjesztésére.</w:t>
      </w:r>
    </w:p>
    <w:p w:rsidR="0086765B" w:rsidRPr="00CD00F9" w:rsidRDefault="0086765B" w:rsidP="0086765B">
      <w:pPr>
        <w:pStyle w:val="Listaszerbekezds"/>
        <w:widowControl w:val="0"/>
        <w:tabs>
          <w:tab w:val="left" w:pos="1293"/>
        </w:tabs>
        <w:spacing w:after="0"/>
        <w:ind w:left="20" w:right="20"/>
        <w:jc w:val="both"/>
        <w:rPr>
          <w:rFonts w:ascii="Arial" w:eastAsia="Arial" w:hAnsi="Arial" w:cs="Arial"/>
          <w:u w:val="single"/>
          <w:lang w:eastAsia="hu-HU" w:bidi="hu-HU"/>
        </w:rPr>
      </w:pPr>
    </w:p>
    <w:p w:rsidR="00AC69D2" w:rsidRPr="00CD00F9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lang w:eastAsia="hu-HU" w:bidi="hu-HU"/>
        </w:rPr>
      </w:pPr>
      <w:r w:rsidRPr="00CD00F9">
        <w:rPr>
          <w:rFonts w:ascii="Arial" w:eastAsia="Arial" w:hAnsi="Arial" w:cs="Arial"/>
          <w:u w:val="single"/>
          <w:lang w:eastAsia="hu-HU" w:bidi="hu-HU"/>
        </w:rPr>
        <w:t>Felelős:</w:t>
      </w:r>
      <w:r w:rsidRPr="00CD00F9">
        <w:rPr>
          <w:rFonts w:ascii="Arial" w:eastAsia="Arial" w:hAnsi="Arial" w:cs="Arial"/>
          <w:lang w:eastAsia="hu-HU" w:bidi="hu-HU"/>
        </w:rPr>
        <w:tab/>
        <w:t>Papp Gábor polgármester</w:t>
      </w:r>
    </w:p>
    <w:p w:rsidR="00C00627" w:rsidRPr="00CD00F9" w:rsidRDefault="00C00627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lang w:eastAsia="hu-HU" w:bidi="hu-HU"/>
        </w:rPr>
      </w:pPr>
      <w:r w:rsidRPr="00CD00F9">
        <w:rPr>
          <w:rFonts w:ascii="Arial" w:eastAsia="Arial" w:hAnsi="Arial" w:cs="Arial"/>
          <w:lang w:eastAsia="hu-HU" w:bidi="hu-HU"/>
        </w:rPr>
        <w:tab/>
        <w:t>dr. Tüske Róbert jegyző</w:t>
      </w:r>
    </w:p>
    <w:p w:rsidR="0086765B" w:rsidRPr="00CD00F9" w:rsidRDefault="0086765B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lang w:eastAsia="hu-HU" w:bidi="hu-HU"/>
        </w:rPr>
      </w:pPr>
      <w:r w:rsidRPr="00CD00F9">
        <w:rPr>
          <w:rFonts w:ascii="Arial" w:eastAsia="Arial" w:hAnsi="Arial" w:cs="Arial"/>
          <w:u w:val="single"/>
          <w:lang w:eastAsia="hu-HU" w:bidi="hu-HU"/>
        </w:rPr>
        <w:t>Határidő:</w:t>
      </w:r>
      <w:r w:rsidRPr="00CD00F9">
        <w:rPr>
          <w:rFonts w:ascii="Arial" w:eastAsia="Arial" w:hAnsi="Arial" w:cs="Arial"/>
          <w:lang w:eastAsia="hu-HU" w:bidi="hu-HU"/>
        </w:rPr>
        <w:t xml:space="preserve"> </w:t>
      </w:r>
      <w:r w:rsidRPr="00CD00F9">
        <w:rPr>
          <w:rFonts w:ascii="Arial" w:eastAsia="Arial" w:hAnsi="Arial" w:cs="Arial"/>
          <w:lang w:eastAsia="hu-HU" w:bidi="hu-HU"/>
        </w:rPr>
        <w:tab/>
      </w:r>
      <w:r w:rsidR="00C00627" w:rsidRPr="00CD00F9">
        <w:rPr>
          <w:rFonts w:ascii="Arial" w:eastAsia="Arial" w:hAnsi="Arial" w:cs="Arial"/>
          <w:lang w:eastAsia="hu-HU" w:bidi="hu-HU"/>
        </w:rPr>
        <w:t xml:space="preserve">folyamatos és </w:t>
      </w:r>
      <w:r w:rsidR="00DC21FA" w:rsidRPr="00CD00F9">
        <w:rPr>
          <w:rFonts w:ascii="Arial" w:eastAsia="Arial" w:hAnsi="Arial" w:cs="Arial"/>
          <w:lang w:eastAsia="hu-HU" w:bidi="hu-HU"/>
        </w:rPr>
        <w:t>2017. december 31.</w:t>
      </w:r>
    </w:p>
    <w:p w:rsidR="00AC69D2" w:rsidRPr="00CD00F9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lang w:eastAsia="hu-HU" w:bidi="hu-HU"/>
        </w:rPr>
      </w:pPr>
      <w:r w:rsidRPr="00CD00F9">
        <w:rPr>
          <w:rFonts w:ascii="Arial" w:eastAsia="Arial" w:hAnsi="Arial" w:cs="Arial"/>
          <w:lang w:eastAsia="hu-HU" w:bidi="hu-HU"/>
        </w:rPr>
        <w:br w:type="page"/>
      </w:r>
    </w:p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93FD6" w:rsidRDefault="00893FD6">
      <w:r>
        <w:br w:type="page"/>
      </w:r>
    </w:p>
    <w:p w:rsidR="00893FD6" w:rsidRDefault="00893FD6">
      <w:pPr>
        <w:sectPr w:rsidR="00893FD6" w:rsidSect="00801CE1">
          <w:footerReference w:type="even" r:id="rId9"/>
          <w:footerReference w:type="default" r:id="rId10"/>
          <w:pgSz w:w="11906" w:h="16838"/>
          <w:pgMar w:top="567" w:right="1417" w:bottom="426" w:left="1417" w:header="708" w:footer="708" w:gutter="0"/>
          <w:cols w:space="708"/>
          <w:docGrid w:linePitch="360"/>
        </w:sectPr>
      </w:pPr>
    </w:p>
    <w:p w:rsidR="0088607D" w:rsidRDefault="0088607D"/>
    <w:p w:rsidR="00CD00F9" w:rsidRDefault="00CD00F9" w:rsidP="00CD00F9">
      <w:pPr>
        <w:tabs>
          <w:tab w:val="left" w:pos="0"/>
        </w:tabs>
        <w:ind w:right="141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CD00F9" w:rsidRPr="0086765B" w:rsidRDefault="00CD00F9" w:rsidP="00CD00F9">
      <w:pPr>
        <w:ind w:right="141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tbl>
      <w:tblPr>
        <w:tblStyle w:val="Rcsostblzat"/>
        <w:tblW w:w="0" w:type="auto"/>
        <w:tblInd w:w="-147" w:type="dxa"/>
        <w:tblLook w:val="04A0" w:firstRow="1" w:lastRow="0" w:firstColumn="1" w:lastColumn="0" w:noHBand="0" w:noVBand="1"/>
      </w:tblPr>
      <w:tblGrid>
        <w:gridCol w:w="3690"/>
        <w:gridCol w:w="5241"/>
      </w:tblGrid>
      <w:tr w:rsidR="00CD00F9" w:rsidRPr="00893FD6" w:rsidTr="008C35B4">
        <w:trPr>
          <w:trHeight w:val="605"/>
        </w:trPr>
        <w:tc>
          <w:tcPr>
            <w:tcW w:w="8931" w:type="dxa"/>
            <w:gridSpan w:val="2"/>
          </w:tcPr>
          <w:p w:rsidR="00CD00F9" w:rsidRDefault="00CD00F9" w:rsidP="008C35B4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  <w:p w:rsidR="00CD00F9" w:rsidRPr="00571A8B" w:rsidRDefault="00CD00F9" w:rsidP="008C35B4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71A8B">
              <w:rPr>
                <w:rFonts w:ascii="Arial" w:eastAsiaTheme="minorHAnsi" w:hAnsi="Arial" w:cs="Arial"/>
                <w:b/>
                <w:sz w:val="24"/>
                <w:szCs w:val="24"/>
              </w:rPr>
              <w:t>Módosítás határideje: 2016. december 31. napja</w:t>
            </w:r>
          </w:p>
        </w:tc>
      </w:tr>
      <w:tr w:rsidR="00CD00F9" w:rsidRPr="00893FD6" w:rsidTr="008C35B4"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</w:p>
          <w:p w:rsidR="00CD00F9" w:rsidRPr="00893FD6" w:rsidRDefault="00CD00F9" w:rsidP="008C35B4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A rendelet száma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jc w:val="center"/>
              <w:rPr>
                <w:rFonts w:ascii="Arial" w:eastAsiaTheme="minorHAnsi" w:hAnsi="Arial" w:cs="Arial"/>
              </w:rPr>
            </w:pPr>
          </w:p>
          <w:p w:rsidR="00CD00F9" w:rsidRPr="00893FD6" w:rsidRDefault="00CD00F9" w:rsidP="008C35B4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A rendelet tárgya</w:t>
            </w:r>
          </w:p>
        </w:tc>
      </w:tr>
      <w:tr w:rsidR="00CD00F9" w:rsidRPr="00893FD6" w:rsidTr="008C35B4"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6/1992. (V.19.)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belterületi határ módosításáról</w:t>
            </w:r>
          </w:p>
        </w:tc>
      </w:tr>
      <w:tr w:rsidR="00CD00F9" w:rsidRPr="00893FD6" w:rsidTr="008C35B4"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32/1995. (XII.19.)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egyes közszolgáltatások kötelező igénybevételéről</w:t>
            </w:r>
          </w:p>
        </w:tc>
      </w:tr>
      <w:tr w:rsidR="00CD00F9" w:rsidRPr="00893FD6" w:rsidTr="008C35B4">
        <w:trPr>
          <w:trHeight w:val="619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8/1998. (III.31.)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környezetvédelemről</w:t>
            </w:r>
          </w:p>
        </w:tc>
      </w:tr>
      <w:tr w:rsidR="00CD00F9" w:rsidRPr="00893FD6" w:rsidTr="008C35B4"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10/2000. (VI.1.)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város közterületeinek általános rendjéről</w:t>
            </w:r>
          </w:p>
        </w:tc>
      </w:tr>
      <w:tr w:rsidR="00CD00F9" w:rsidRPr="00893FD6" w:rsidTr="008C35B4"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19/2000.(XI. 30.)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temetőkről és a temetkezés rendjéről</w:t>
            </w:r>
          </w:p>
        </w:tc>
      </w:tr>
      <w:tr w:rsidR="00CD00F9" w:rsidRPr="00893FD6" w:rsidTr="008C35B4"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7/2001. (III.14.)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Településfejlesztési célú elővásárlási jog megállapításáról</w:t>
            </w:r>
          </w:p>
        </w:tc>
      </w:tr>
      <w:tr w:rsidR="00CD00F9" w:rsidRPr="00893FD6" w:rsidTr="008C35B4"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9/2004. (IV.1.)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helyi címer és zászló alapításáról és használatának rendjéről</w:t>
            </w:r>
          </w:p>
        </w:tc>
      </w:tr>
      <w:tr w:rsidR="00CD00F9" w:rsidRPr="00893FD6" w:rsidTr="008C35B4"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24/2004. (VI.30.)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önkormányzat tulajdonában lévő lakások és nem lakás célú helyiségek bérletéről, valamint elidegenítésükről</w:t>
            </w:r>
          </w:p>
        </w:tc>
      </w:tr>
      <w:tr w:rsidR="00CD00F9" w:rsidRPr="00893FD6" w:rsidTr="008C35B4"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43/2004. (XII.15.)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Önkormányzat közművelődési feladatairól, a helyi közművelődés támogatásáról</w:t>
            </w:r>
          </w:p>
        </w:tc>
      </w:tr>
      <w:tr w:rsidR="00CD00F9" w:rsidRPr="00893FD6" w:rsidTr="008C35B4"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28/2005. (XII.15.)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közterületek használatáról</w:t>
            </w:r>
          </w:p>
        </w:tc>
      </w:tr>
      <w:tr w:rsidR="00CD00F9" w:rsidRPr="00893FD6" w:rsidTr="008C35B4"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5/2008. (I.30.)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Önkormányzati rendeletekben meghatározott helyszíni bírságok összegének módosításáról</w:t>
            </w:r>
          </w:p>
        </w:tc>
      </w:tr>
      <w:tr w:rsidR="00CD00F9" w:rsidRPr="00893FD6" w:rsidTr="008C35B4">
        <w:trPr>
          <w:trHeight w:val="1018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5/2009. (II.27.)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önkormányzati intézményekben folyó munkahelyi étkeztetésről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4/2010. (II.10.)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helyi adókról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5/2010. (II.10.)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nehéz helyzetbe került természetes személyek lakáshitel-törlesztésének támogatásáról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15/2010. (VI.30.)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idegenforgalmi adó beszedésre kötelezettek bejelentési, nyilvántartás-vezetési kötelezettségéről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4/2011. (I.26.)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költségvetési és zárszámadási rendelet tartalmának (szerkezetének, táblázatainak) meghatározásáról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60/2011. (XI.10.)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jégpálya nyitva tartásáról és használatának díjáról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29/2012. (VI.27.)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önkormányzati biztosról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47/2013. (XI. 27.)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államháztartáson kívülre nyújtott támogatásokról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2/2014. (II. 12. 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HVÖ 2014. évi költségvetése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19/2014. (IV. 29.)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HVÖ 2013. évi gazdálkodásának zárszámadásáról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3/2015. (II. 17.)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HVÖ 2015. évi gazdálkodásáról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23/2015. (V. 29.)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HVÖ 2014. évi gazdálkodásának zárszámadásáról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36/2015. (X. 5.)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egyéb szálláshelyek minőségfejlesztési támogatásáról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2/2016. (I. 29.)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Város Önkormányzat 2016. évi költségvetéséről</w:t>
            </w:r>
          </w:p>
        </w:tc>
      </w:tr>
      <w:tr w:rsidR="00CD00F9" w:rsidRPr="00893FD6" w:rsidTr="008C35B4">
        <w:trPr>
          <w:trHeight w:val="423"/>
        </w:trPr>
        <w:tc>
          <w:tcPr>
            <w:tcW w:w="8931" w:type="dxa"/>
            <w:gridSpan w:val="2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</w:p>
        </w:tc>
      </w:tr>
      <w:tr w:rsidR="00CD00F9" w:rsidRPr="00893FD6" w:rsidTr="008C35B4">
        <w:trPr>
          <w:trHeight w:val="423"/>
        </w:trPr>
        <w:tc>
          <w:tcPr>
            <w:tcW w:w="8931" w:type="dxa"/>
            <w:gridSpan w:val="2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</w:p>
        </w:tc>
      </w:tr>
      <w:tr w:rsidR="00CD00F9" w:rsidRPr="00893FD6" w:rsidTr="008C35B4">
        <w:trPr>
          <w:trHeight w:val="423"/>
        </w:trPr>
        <w:tc>
          <w:tcPr>
            <w:tcW w:w="8931" w:type="dxa"/>
            <w:gridSpan w:val="2"/>
          </w:tcPr>
          <w:p w:rsidR="00CD00F9" w:rsidRDefault="00CD00F9" w:rsidP="008C35B4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  <w:p w:rsidR="00CD00F9" w:rsidRPr="00893FD6" w:rsidRDefault="00CD00F9" w:rsidP="008C35B4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1"/>
                <w:szCs w:val="21"/>
              </w:rPr>
            </w:pPr>
            <w:r w:rsidRPr="00571A8B">
              <w:rPr>
                <w:rFonts w:ascii="Arial" w:eastAsiaTheme="minorHAnsi" w:hAnsi="Arial" w:cs="Arial"/>
                <w:b/>
                <w:sz w:val="24"/>
                <w:szCs w:val="24"/>
              </w:rPr>
              <w:t>Módosítás határideje: 201</w:t>
            </w: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7</w:t>
            </w:r>
            <w:r w:rsidRPr="00571A8B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. </w:t>
            </w: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június 30</w:t>
            </w:r>
            <w:r w:rsidRPr="00571A8B">
              <w:rPr>
                <w:rFonts w:ascii="Arial" w:eastAsiaTheme="minorHAnsi" w:hAnsi="Arial" w:cs="Arial"/>
                <w:b/>
                <w:sz w:val="24"/>
                <w:szCs w:val="24"/>
              </w:rPr>
              <w:t>. napja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32/2004. (IX.1.)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közterület-felügyeletről</w:t>
            </w:r>
          </w:p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2/2005. (I.26.)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Lakáscélú helyi támogatásokról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16/2007. (VI.1.)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épített örökség értékeinek helyi védelméről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31/2007. (XII.20.)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helyi jelentőségű védett természeti terület védettségének fenntartásáról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21/2008. (X.1.)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város közterületein a járművel várakozás rendjéről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3/2011. (I.26.)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jc w:val="both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közterületen történő dohányzás korlátozásáról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29/2011. (IV.13.)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Hévíz 1626/4. hrsz. ingatlant érintő változtatási tilalom elrendeléséről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16/2012. (III.28.)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Helyi kitüntető cím és kitüntető díjak alapításáról és adományozásáról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30/2012. (VI.27.)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Polgármesteri Hivatalban foglalkoztatott közszolgálati tisztviselők egyéb juttatásairól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45/2012. (IX.28.)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önkormányzati fenntartású köznevelési intézményekben térítési díj, tandíj ellenében biztosított köznevelési feladatokról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2/2013. (III.4.)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Város Önkormányzat pénzkezelésének rendjéről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10/2013. (IV.11.)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településképi véleményezési eljárásról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11/2013. (IV.11.)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településképi bejelentési eljárásról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12/2013. (IV.11.)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helyi településrendezési előírások tartalmáról szóló előzetes tájékoztatás és a tervekkel kapcsolatos szakmai konzultáció szabályairól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5/2014. (II. 5.)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külföldi kiküldetésekről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16/2014. (III. 27.)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életvitelszerű közterületi tartózkodás szabályairól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21/2014. (IV. 29.)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szociális szolgáltatásokról és a személyes gondoskodást nyújtó gyermekjóléti ellátásokról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11/2015. (II. 26.)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települési támogatásról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15/2015. (III. 30.)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közalkalmazottak lakáscélú támogatásáról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42/2015. (XI. 11.)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szociális célú tüzelőanyag támogatás helyi szabályairól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44/2015. (XI. 27.)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Hazavár Önkormányzati útiköltség hozzájárulás és ösztöndíj elbírálásának helyi szabályozásáról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13/2016. (III. 31.)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bCs/>
                <w:sz w:val="21"/>
                <w:szCs w:val="21"/>
              </w:rPr>
              <w:t>A Hévízi Polgármesteri Hivatalban igazgatási szünet elrendeléséről</w:t>
            </w:r>
          </w:p>
        </w:tc>
      </w:tr>
      <w:tr w:rsidR="00CD00F9" w:rsidRPr="00893FD6" w:rsidTr="008C35B4">
        <w:trPr>
          <w:trHeight w:val="423"/>
        </w:trPr>
        <w:tc>
          <w:tcPr>
            <w:tcW w:w="8931" w:type="dxa"/>
            <w:gridSpan w:val="2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</w:p>
        </w:tc>
      </w:tr>
      <w:tr w:rsidR="00CD00F9" w:rsidRPr="00893FD6" w:rsidTr="008C35B4">
        <w:trPr>
          <w:trHeight w:val="423"/>
        </w:trPr>
        <w:tc>
          <w:tcPr>
            <w:tcW w:w="8931" w:type="dxa"/>
            <w:gridSpan w:val="2"/>
          </w:tcPr>
          <w:p w:rsidR="00CD00F9" w:rsidRDefault="00CD00F9" w:rsidP="008C35B4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  <w:p w:rsidR="00CD00F9" w:rsidRPr="00893FD6" w:rsidRDefault="00CD00F9" w:rsidP="008C35B4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1"/>
                <w:szCs w:val="21"/>
              </w:rPr>
            </w:pPr>
            <w:r w:rsidRPr="00571A8B">
              <w:rPr>
                <w:rFonts w:ascii="Arial" w:eastAsiaTheme="minorHAnsi" w:hAnsi="Arial" w:cs="Arial"/>
                <w:b/>
                <w:sz w:val="24"/>
                <w:szCs w:val="24"/>
              </w:rPr>
              <w:t>Módosítás határideje: 201</w:t>
            </w: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7</w:t>
            </w:r>
            <w:r w:rsidRPr="00571A8B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. </w:t>
            </w: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december 31</w:t>
            </w:r>
            <w:r w:rsidRPr="00571A8B">
              <w:rPr>
                <w:rFonts w:ascii="Arial" w:eastAsiaTheme="minorHAnsi" w:hAnsi="Arial" w:cs="Arial"/>
                <w:b/>
                <w:sz w:val="24"/>
                <w:szCs w:val="24"/>
              </w:rPr>
              <w:t>. napja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41/2003. (XII.22.)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Város Építési Szabályzatáról és Szabályozási Tervéről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57/2011. (X.28.)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építészeti-műszaki tervtanács működéséről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13/2013. (IV.30.)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hivatali helyiségen és hivatali munkaidőn kívül történő házasságkötés díjáról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24/2013. (VI.26.)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közösségi együttélés alapvető szabályairól, valamint ezek elmulasztása, megszegése jogkövetkezményeiről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25/2013. (VI.26.)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Az egészségügyi alapellátások körzeteiről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39/2013. (X.31.)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közterületek elnevezéséről, a házszám megállapítás szabályairól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46/2013. (XI. 27.)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talajterhelési díjról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22/2014. (IV. 29.)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vagyongazdálkodásról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32/2014. (IX. 25.)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Hévíz Város Közoktatásáért és Év tanára díj alapításáról és adományozásáról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34/2014. (X. 30.)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Képviselő-testület és Szervei Szervezeti és Működési Szabályzatáról</w:t>
            </w:r>
          </w:p>
        </w:tc>
      </w:tr>
      <w:tr w:rsidR="00CD00F9" w:rsidRPr="00893FD6" w:rsidTr="008C35B4">
        <w:trPr>
          <w:trHeight w:val="423"/>
        </w:trPr>
        <w:tc>
          <w:tcPr>
            <w:tcW w:w="3690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b/>
              </w:rPr>
            </w:pPr>
            <w:r w:rsidRPr="00893FD6">
              <w:rPr>
                <w:rFonts w:ascii="Arial" w:eastAsiaTheme="minorHAnsi" w:hAnsi="Arial" w:cs="Arial"/>
                <w:b/>
              </w:rPr>
              <w:t>45/2014. (XII. 15.)</w:t>
            </w:r>
          </w:p>
        </w:tc>
        <w:tc>
          <w:tcPr>
            <w:tcW w:w="5241" w:type="dxa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  <w:r w:rsidRPr="00893FD6">
              <w:rPr>
                <w:rFonts w:ascii="Arial" w:eastAsiaTheme="minorHAnsi" w:hAnsi="Arial" w:cs="Arial"/>
                <w:sz w:val="21"/>
                <w:szCs w:val="21"/>
              </w:rPr>
              <w:t>A nem közművel összegyűjtött háztartási szennyvíz begyűjtésére vonatkozó közszolgáltatás helyi szabályairól</w:t>
            </w:r>
          </w:p>
        </w:tc>
      </w:tr>
      <w:tr w:rsidR="00CD00F9" w:rsidRPr="00893FD6" w:rsidTr="008C35B4">
        <w:trPr>
          <w:trHeight w:val="423"/>
        </w:trPr>
        <w:tc>
          <w:tcPr>
            <w:tcW w:w="8931" w:type="dxa"/>
            <w:gridSpan w:val="2"/>
          </w:tcPr>
          <w:p w:rsidR="00CD00F9" w:rsidRPr="00893FD6" w:rsidRDefault="00CD00F9" w:rsidP="008C35B4">
            <w:pPr>
              <w:spacing w:after="0" w:line="240" w:lineRule="auto"/>
              <w:rPr>
                <w:rFonts w:ascii="Arial" w:eastAsiaTheme="minorHAnsi" w:hAnsi="Arial" w:cs="Arial"/>
                <w:sz w:val="21"/>
                <w:szCs w:val="21"/>
              </w:rPr>
            </w:pPr>
          </w:p>
        </w:tc>
      </w:tr>
    </w:tbl>
    <w:p w:rsidR="00CD00F9" w:rsidRDefault="00CD00F9" w:rsidP="00CD00F9">
      <w:pPr>
        <w:ind w:left="567"/>
      </w:pPr>
    </w:p>
    <w:p w:rsidR="00CD00F9" w:rsidRDefault="00CD00F9" w:rsidP="00CD00F9"/>
    <w:p w:rsidR="00801CE1" w:rsidRDefault="00801CE1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CD00F9" w:rsidRDefault="00CD00F9" w:rsidP="0088607D">
      <w:pPr>
        <w:tabs>
          <w:tab w:val="left" w:pos="3000"/>
        </w:tabs>
      </w:pPr>
    </w:p>
    <w:p w:rsidR="008E2138" w:rsidRPr="00956A7D" w:rsidRDefault="008E2138" w:rsidP="0088607D">
      <w:pPr>
        <w:ind w:right="849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8607D">
      <w:pPr>
        <w:ind w:right="849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8607D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483"/>
        <w:gridCol w:w="1843"/>
        <w:gridCol w:w="2864"/>
      </w:tblGrid>
      <w:tr w:rsidR="008E2138" w:rsidRPr="00956A7D" w:rsidTr="0088607D">
        <w:tc>
          <w:tcPr>
            <w:tcW w:w="9782" w:type="dxa"/>
            <w:gridSpan w:val="4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88607D">
        <w:trPr>
          <w:trHeight w:val="422"/>
        </w:trPr>
        <w:tc>
          <w:tcPr>
            <w:tcW w:w="2592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864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88607D">
        <w:trPr>
          <w:trHeight w:val="697"/>
        </w:trPr>
        <w:tc>
          <w:tcPr>
            <w:tcW w:w="2592" w:type="dxa"/>
          </w:tcPr>
          <w:p w:rsidR="008E2138" w:rsidRDefault="00801CE1" w:rsidP="00893FD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88607D" w:rsidRPr="00801CE1" w:rsidRDefault="0088607D" w:rsidP="00893FD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Lengyel Katalin</w:t>
            </w:r>
          </w:p>
        </w:tc>
        <w:tc>
          <w:tcPr>
            <w:tcW w:w="2483" w:type="dxa"/>
            <w:vAlign w:val="center"/>
          </w:tcPr>
          <w:p w:rsidR="008E2138" w:rsidRPr="00801CE1" w:rsidRDefault="00801CE1" w:rsidP="00893FD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8E2138" w:rsidRPr="00801CE1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88607D">
        <w:trPr>
          <w:trHeight w:val="551"/>
        </w:trPr>
        <w:tc>
          <w:tcPr>
            <w:tcW w:w="2592" w:type="dxa"/>
          </w:tcPr>
          <w:p w:rsidR="008E2138" w:rsidRPr="00801CE1" w:rsidRDefault="008E2138" w:rsidP="00893FD6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801CE1" w:rsidRDefault="008E2138" w:rsidP="00893FD6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8E2138" w:rsidRPr="00801CE1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8E2138" w:rsidRPr="00801CE1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88607D">
        <w:tc>
          <w:tcPr>
            <w:tcW w:w="2592" w:type="dxa"/>
          </w:tcPr>
          <w:p w:rsidR="008E2138" w:rsidRPr="00801CE1" w:rsidRDefault="008E2138" w:rsidP="00893FD6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801CE1" w:rsidRDefault="008E2138" w:rsidP="00893FD6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893FD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8E2138" w:rsidRPr="00801CE1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2483"/>
        <w:gridCol w:w="2483"/>
        <w:gridCol w:w="2044"/>
      </w:tblGrid>
      <w:tr w:rsidR="008E2138" w:rsidRPr="00956A7D" w:rsidTr="0088607D">
        <w:trPr>
          <w:trHeight w:val="277"/>
        </w:trPr>
        <w:tc>
          <w:tcPr>
            <w:tcW w:w="9782" w:type="dxa"/>
            <w:gridSpan w:val="4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88607D">
        <w:trPr>
          <w:trHeight w:val="277"/>
        </w:trPr>
        <w:tc>
          <w:tcPr>
            <w:tcW w:w="2772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044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88607D">
        <w:trPr>
          <w:trHeight w:val="707"/>
        </w:trPr>
        <w:tc>
          <w:tcPr>
            <w:tcW w:w="2772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893FD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44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88607D">
        <w:trPr>
          <w:trHeight w:val="829"/>
        </w:trPr>
        <w:tc>
          <w:tcPr>
            <w:tcW w:w="2772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44" w:type="dxa"/>
          </w:tcPr>
          <w:p w:rsidR="008E2138" w:rsidRPr="00956A7D" w:rsidRDefault="008E2138" w:rsidP="00893F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88607D">
      <w:pgSz w:w="11906" w:h="16838"/>
      <w:pgMar w:top="567" w:right="42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21" w:rsidRDefault="00C23921">
      <w:pPr>
        <w:spacing w:after="0" w:line="240" w:lineRule="auto"/>
      </w:pPr>
      <w:r>
        <w:separator/>
      </w:r>
    </w:p>
  </w:endnote>
  <w:endnote w:type="continuationSeparator" w:id="0">
    <w:p w:rsidR="00C23921" w:rsidRDefault="00C23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982" w:rsidRDefault="008D0982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0982" w:rsidRDefault="008D0982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8D0982" w:rsidRDefault="008D0982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982" w:rsidRDefault="008D0982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0982" w:rsidRDefault="008D0982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47A81" w:rsidRPr="00847A81">
                            <w:rPr>
                              <w:rStyle w:val="Fejlcvagylbjegyzet"/>
                              <w:noProof/>
                            </w:rPr>
                            <w:t>2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8D0982" w:rsidRDefault="008D0982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47A81" w:rsidRPr="00847A81">
                      <w:rPr>
                        <w:rStyle w:val="Fejlcvagylbjegyzet"/>
                        <w:noProof/>
                      </w:rPr>
                      <w:t>2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21" w:rsidRDefault="00C23921">
      <w:pPr>
        <w:spacing w:after="0" w:line="240" w:lineRule="auto"/>
      </w:pPr>
      <w:r>
        <w:separator/>
      </w:r>
    </w:p>
  </w:footnote>
  <w:footnote w:type="continuationSeparator" w:id="0">
    <w:p w:rsidR="00C23921" w:rsidRDefault="00C23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4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8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AC7332"/>
    <w:multiLevelType w:val="hybridMultilevel"/>
    <w:tmpl w:val="25F6DB26"/>
    <w:lvl w:ilvl="0" w:tplc="82624C9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8"/>
  </w:num>
  <w:num w:numId="4">
    <w:abstractNumId w:val="17"/>
  </w:num>
  <w:num w:numId="5">
    <w:abstractNumId w:val="13"/>
  </w:num>
  <w:num w:numId="6">
    <w:abstractNumId w:val="0"/>
  </w:num>
  <w:num w:numId="7">
    <w:abstractNumId w:val="16"/>
  </w:num>
  <w:num w:numId="8">
    <w:abstractNumId w:val="11"/>
  </w:num>
  <w:num w:numId="9">
    <w:abstractNumId w:val="10"/>
  </w:num>
  <w:num w:numId="10">
    <w:abstractNumId w:val="1"/>
  </w:num>
  <w:num w:numId="11">
    <w:abstractNumId w:val="14"/>
  </w:num>
  <w:num w:numId="12">
    <w:abstractNumId w:val="15"/>
  </w:num>
  <w:num w:numId="13">
    <w:abstractNumId w:val="2"/>
  </w:num>
  <w:num w:numId="14">
    <w:abstractNumId w:val="9"/>
  </w:num>
  <w:num w:numId="15">
    <w:abstractNumId w:val="4"/>
  </w:num>
  <w:num w:numId="16">
    <w:abstractNumId w:val="7"/>
  </w:num>
  <w:num w:numId="17">
    <w:abstractNumId w:val="3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6071"/>
    <w:rsid w:val="00030DA6"/>
    <w:rsid w:val="00031652"/>
    <w:rsid w:val="00114967"/>
    <w:rsid w:val="00124950"/>
    <w:rsid w:val="001B28C2"/>
    <w:rsid w:val="001F4082"/>
    <w:rsid w:val="00201700"/>
    <w:rsid w:val="002526E6"/>
    <w:rsid w:val="00272FC2"/>
    <w:rsid w:val="003458EA"/>
    <w:rsid w:val="00351750"/>
    <w:rsid w:val="00445E50"/>
    <w:rsid w:val="00450118"/>
    <w:rsid w:val="00495B81"/>
    <w:rsid w:val="00550400"/>
    <w:rsid w:val="005527F7"/>
    <w:rsid w:val="0056466D"/>
    <w:rsid w:val="0065648F"/>
    <w:rsid w:val="006761B6"/>
    <w:rsid w:val="00707759"/>
    <w:rsid w:val="00725F68"/>
    <w:rsid w:val="0077433B"/>
    <w:rsid w:val="007B21BF"/>
    <w:rsid w:val="007D2325"/>
    <w:rsid w:val="007E730B"/>
    <w:rsid w:val="007F439F"/>
    <w:rsid w:val="00801CE1"/>
    <w:rsid w:val="008365C9"/>
    <w:rsid w:val="00847A81"/>
    <w:rsid w:val="0086765B"/>
    <w:rsid w:val="0088607D"/>
    <w:rsid w:val="00893FD6"/>
    <w:rsid w:val="008D0982"/>
    <w:rsid w:val="008E2138"/>
    <w:rsid w:val="00986BCC"/>
    <w:rsid w:val="009A71D8"/>
    <w:rsid w:val="009B5E19"/>
    <w:rsid w:val="009D2A2E"/>
    <w:rsid w:val="00AA637F"/>
    <w:rsid w:val="00AC69D2"/>
    <w:rsid w:val="00B076AE"/>
    <w:rsid w:val="00B20EDD"/>
    <w:rsid w:val="00B6673F"/>
    <w:rsid w:val="00B7637F"/>
    <w:rsid w:val="00B76DE6"/>
    <w:rsid w:val="00BC7527"/>
    <w:rsid w:val="00BD7D8E"/>
    <w:rsid w:val="00C00627"/>
    <w:rsid w:val="00C23921"/>
    <w:rsid w:val="00C46CA0"/>
    <w:rsid w:val="00C610AA"/>
    <w:rsid w:val="00CD00F9"/>
    <w:rsid w:val="00D15614"/>
    <w:rsid w:val="00D238BD"/>
    <w:rsid w:val="00D67311"/>
    <w:rsid w:val="00DB6CC6"/>
    <w:rsid w:val="00DC21FA"/>
    <w:rsid w:val="00DD698C"/>
    <w:rsid w:val="00E35C1F"/>
    <w:rsid w:val="00E71133"/>
    <w:rsid w:val="00EB7E6E"/>
    <w:rsid w:val="00EF42DD"/>
    <w:rsid w:val="00FA6812"/>
    <w:rsid w:val="00FE42A4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table" w:styleId="Rcsostblzat">
    <w:name w:val="Table Grid"/>
    <w:basedOn w:val="Normltblzat"/>
    <w:uiPriority w:val="39"/>
    <w:rsid w:val="00893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C2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21F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1203</Words>
  <Characters>8308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3</cp:revision>
  <cp:lastPrinted>2016-05-13T07:39:00Z</cp:lastPrinted>
  <dcterms:created xsi:type="dcterms:W3CDTF">2016-05-19T08:37:00Z</dcterms:created>
  <dcterms:modified xsi:type="dcterms:W3CDTF">2016-05-19T08:44:00Z</dcterms:modified>
</cp:coreProperties>
</file>